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2DAE1" w14:textId="70B7CE63" w:rsidR="007412AC" w:rsidRPr="007604F2" w:rsidRDefault="007412AC" w:rsidP="007412AC">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2B449B" w:rsidRPr="00C844BE">
        <w:rPr>
          <w:rFonts w:ascii="Arial" w:hAnsi="Arial" w:cs="Arial"/>
          <w:b/>
          <w:bCs/>
          <w:noProof/>
          <w:sz w:val="24"/>
          <w:szCs w:val="24"/>
        </w:rPr>
        <w:t>170</w:t>
      </w:r>
      <w:r w:rsidR="002B449B">
        <w:rPr>
          <w:rFonts w:ascii="Arial" w:hAnsi="Arial" w:cs="Arial"/>
          <w:b/>
          <w:bCs/>
          <w:noProof/>
          <w:sz w:val="24"/>
          <w:szCs w:val="24"/>
        </w:rPr>
        <w:t>8970</w:t>
      </w:r>
    </w:p>
    <w:p w14:paraId="2E63B51E" w14:textId="77777777" w:rsidR="007412AC" w:rsidRPr="007604F2" w:rsidRDefault="007412AC" w:rsidP="007412AC">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52CC0AE0" w14:textId="449AE2D8" w:rsidR="007604F2" w:rsidRDefault="007412AC" w:rsidP="00005DBD">
      <w:pPr>
        <w:pStyle w:val="TdocHeader2"/>
        <w:jc w:val="left"/>
        <w:rPr>
          <w:rFonts w:eastAsia="SimSun" w:cs="Arial"/>
          <w:bCs/>
          <w:noProof/>
          <w:sz w:val="24"/>
          <w:szCs w:val="24"/>
        </w:rPr>
      </w:pPr>
      <w:r w:rsidRPr="007604F2" w:rsidDel="007412AC">
        <w:rPr>
          <w:rFonts w:cs="Arial"/>
          <w:bCs/>
          <w:noProof/>
          <w:sz w:val="24"/>
          <w:szCs w:val="24"/>
        </w:rPr>
        <w:t xml:space="preserve"> </w:t>
      </w: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02593C2"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D43EFD">
        <w:rPr>
          <w:sz w:val="22"/>
          <w:szCs w:val="22"/>
          <w:lang w:val="en-US"/>
        </w:rPr>
        <w:t>Outstanding issues on simulation assumptions for sTTI on PC5</w:t>
      </w:r>
    </w:p>
    <w:p w14:paraId="35A90F35" w14:textId="57B6FAE0" w:rsidR="00005DBD" w:rsidRPr="00915DBA" w:rsidRDefault="00005DBD" w:rsidP="00005DBD">
      <w:pPr>
        <w:pStyle w:val="TdocHeader2"/>
        <w:jc w:val="left"/>
        <w:rPr>
          <w:sz w:val="22"/>
          <w:szCs w:val="22"/>
          <w:lang w:val="en-US"/>
        </w:rPr>
      </w:pPr>
      <w:r w:rsidRPr="00915DBA">
        <w:rPr>
          <w:sz w:val="22"/>
          <w:szCs w:val="22"/>
          <w:lang w:val="en-US"/>
        </w:rPr>
        <w:t>Agenda Item:</w:t>
      </w:r>
      <w:r w:rsidRPr="00915DBA">
        <w:rPr>
          <w:sz w:val="22"/>
          <w:szCs w:val="22"/>
          <w:lang w:val="en-US"/>
        </w:rPr>
        <w:tab/>
      </w:r>
      <w:r w:rsidR="007412AC" w:rsidRPr="00CE08DA">
        <w:rPr>
          <w:sz w:val="22"/>
          <w:szCs w:val="22"/>
          <w:lang w:val="en-US"/>
        </w:rPr>
        <w:t>6.2.3.</w:t>
      </w:r>
      <w:r w:rsidR="00CE08DA" w:rsidRPr="00CE08DA">
        <w:rPr>
          <w:sz w:val="22"/>
          <w:szCs w:val="22"/>
          <w:lang w:val="en-US"/>
        </w:rPr>
        <w:t>3.</w:t>
      </w:r>
      <w:r w:rsidR="007412AC" w:rsidRPr="00CE08DA">
        <w:rPr>
          <w:sz w:val="22"/>
          <w:szCs w:val="22"/>
          <w:lang w:val="en-US"/>
        </w:rPr>
        <w:t>1</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470F954" w14:textId="451A0433" w:rsidR="001744C2" w:rsidRDefault="001744C2" w:rsidP="001744C2">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1714">
        <w:rPr>
          <w:sz w:val="20"/>
          <w:szCs w:val="20"/>
        </w:rPr>
        <w:fldChar w:fldCharType="begin"/>
      </w:r>
      <w:r w:rsidR="00461714">
        <w:rPr>
          <w:sz w:val="20"/>
          <w:szCs w:val="20"/>
        </w:rPr>
        <w:instrText xml:space="preserve"> REF _Ref481590073 \r \h </w:instrText>
      </w:r>
      <w:r w:rsidR="00461714">
        <w:rPr>
          <w:sz w:val="20"/>
          <w:szCs w:val="20"/>
        </w:rPr>
      </w:r>
      <w:r w:rsidR="00461714">
        <w:rPr>
          <w:sz w:val="20"/>
          <w:szCs w:val="20"/>
        </w:rPr>
        <w:fldChar w:fldCharType="separate"/>
      </w:r>
      <w:r w:rsidR="007477FF">
        <w:rPr>
          <w:sz w:val="20"/>
          <w:szCs w:val="20"/>
        </w:rPr>
        <w:t>[1]</w:t>
      </w:r>
      <w:r w:rsidR="00461714">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topics are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3D19D373" w14:textId="77777777" w:rsidR="001744C2" w:rsidRPr="00621664" w:rsidRDefault="001744C2" w:rsidP="001744C2">
      <w:pPr>
        <w:pStyle w:val="BodyText"/>
        <w:spacing w:after="240"/>
        <w:ind w:left="284"/>
        <w:jc w:val="both"/>
        <w:rPr>
          <w:sz w:val="20"/>
          <w:szCs w:val="20"/>
        </w:rPr>
      </w:pPr>
      <w:r w:rsidRPr="00621664">
        <w:rPr>
          <w:sz w:val="20"/>
          <w:szCs w:val="20"/>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14:paraId="22D1A4A4" w14:textId="77777777" w:rsidR="001744C2" w:rsidRPr="00621664" w:rsidRDefault="001744C2" w:rsidP="001744C2">
      <w:pPr>
        <w:pStyle w:val="BodyText"/>
        <w:spacing w:after="240"/>
        <w:ind w:left="568"/>
        <w:jc w:val="both"/>
        <w:rPr>
          <w:sz w:val="20"/>
          <w:szCs w:val="20"/>
        </w:rPr>
      </w:pPr>
      <w:r w:rsidRPr="00621664">
        <w:rPr>
          <w:sz w:val="20"/>
          <w:szCs w:val="20"/>
        </w:rPr>
        <w:t>a)</w:t>
      </w:r>
      <w:r w:rsidRPr="00621664">
        <w:rPr>
          <w:sz w:val="20"/>
          <w:szCs w:val="20"/>
        </w:rPr>
        <w:tab/>
        <w:t>A following decision for normative work is up to consensus at RAN.</w:t>
      </w:r>
    </w:p>
    <w:p w14:paraId="4B34E71E" w14:textId="6FBB8525" w:rsidR="00A85133" w:rsidRDefault="00A85133" w:rsidP="00DF3FAA">
      <w:pPr>
        <w:pStyle w:val="BodyText"/>
        <w:spacing w:before="240" w:after="240"/>
        <w:jc w:val="both"/>
        <w:rPr>
          <w:sz w:val="20"/>
          <w:szCs w:val="20"/>
        </w:rPr>
      </w:pPr>
      <w:r>
        <w:rPr>
          <w:sz w:val="20"/>
          <w:szCs w:val="20"/>
        </w:rPr>
        <w:t>During RAN1#88bis, many simulation assumptions for studying sTTI for PC5 were agreed. One outstanding issue is how to model the imp</w:t>
      </w:r>
      <w:r w:rsidR="00B32D1A">
        <w:rPr>
          <w:sz w:val="20"/>
          <w:szCs w:val="20"/>
        </w:rPr>
        <w:t>a</w:t>
      </w:r>
      <w:r>
        <w:rPr>
          <w:sz w:val="20"/>
          <w:szCs w:val="20"/>
        </w:rPr>
        <w:t>ct on the AGC derived from the variations in received power</w:t>
      </w:r>
      <w:r w:rsidR="001C4B29">
        <w:rPr>
          <w:sz w:val="20"/>
          <w:szCs w:val="20"/>
        </w:rPr>
        <w:t xml:space="preserve"> </w:t>
      </w:r>
      <w:r w:rsidR="00461714">
        <w:rPr>
          <w:sz w:val="20"/>
          <w:szCs w:val="20"/>
        </w:rPr>
        <w:fldChar w:fldCharType="begin"/>
      </w:r>
      <w:r w:rsidR="00461714">
        <w:rPr>
          <w:sz w:val="20"/>
          <w:szCs w:val="20"/>
        </w:rPr>
        <w:instrText xml:space="preserve"> REF _Ref481590079 \r \h </w:instrText>
      </w:r>
      <w:r w:rsidR="00461714">
        <w:rPr>
          <w:sz w:val="20"/>
          <w:szCs w:val="20"/>
        </w:rPr>
      </w:r>
      <w:r w:rsidR="00461714">
        <w:rPr>
          <w:sz w:val="20"/>
          <w:szCs w:val="20"/>
        </w:rPr>
        <w:fldChar w:fldCharType="separate"/>
      </w:r>
      <w:r w:rsidR="007477FF">
        <w:rPr>
          <w:sz w:val="20"/>
          <w:szCs w:val="20"/>
        </w:rPr>
        <w:t>[2]</w:t>
      </w:r>
      <w:r w:rsidR="00461714">
        <w:rPr>
          <w:sz w:val="20"/>
          <w:szCs w:val="20"/>
        </w:rPr>
        <w:fldChar w:fldCharType="end"/>
      </w:r>
      <w:r>
        <w:rPr>
          <w:sz w:val="20"/>
          <w:szCs w:val="20"/>
        </w:rPr>
        <w:t>. In this contribution, we discuss the topic.</w:t>
      </w:r>
    </w:p>
    <w:p w14:paraId="7466D6BE" w14:textId="06A68E19" w:rsidR="004A307B" w:rsidRDefault="00680EA0" w:rsidP="001C33A7">
      <w:pPr>
        <w:pStyle w:val="Heading1"/>
      </w:pPr>
      <w:r>
        <w:t>Model for AGC impact</w:t>
      </w:r>
    </w:p>
    <w:p w14:paraId="69780C68" w14:textId="54B473A2" w:rsidR="001744C2" w:rsidRDefault="001744C2" w:rsidP="00E92726">
      <w:pPr>
        <w:pStyle w:val="BodyText"/>
        <w:spacing w:after="240"/>
        <w:jc w:val="both"/>
        <w:rPr>
          <w:sz w:val="20"/>
          <w:szCs w:val="20"/>
        </w:rPr>
      </w:pPr>
      <w:r>
        <w:rPr>
          <w:sz w:val="20"/>
          <w:szCs w:val="20"/>
        </w:rPr>
        <w:t>Short TTI transmission can impact other transmissions in multiple ways. Consider the coexistence of sTTI and legacy transmissions (i.e., spanning one subframe). The following aspects need to be considered:</w:t>
      </w:r>
    </w:p>
    <w:p w14:paraId="6C662B7E" w14:textId="369E0428" w:rsidR="001744C2" w:rsidRDefault="001744C2" w:rsidP="001744C2">
      <w:pPr>
        <w:pStyle w:val="BodyText"/>
        <w:numPr>
          <w:ilvl w:val="0"/>
          <w:numId w:val="42"/>
        </w:numPr>
        <w:spacing w:after="240"/>
        <w:jc w:val="both"/>
        <w:rPr>
          <w:sz w:val="20"/>
          <w:szCs w:val="20"/>
        </w:rPr>
      </w:pPr>
      <w:r>
        <w:rPr>
          <w:sz w:val="20"/>
          <w:szCs w:val="20"/>
        </w:rPr>
        <w:t>A sTTI transmission starts in the middle of a legacy transmission (e.g., sTTI during the second slot). This suddenly increases the received power and may saturate the receiver of legacy transmissions.</w:t>
      </w:r>
      <w:r w:rsidR="009426E7">
        <w:rPr>
          <w:sz w:val="20"/>
          <w:szCs w:val="20"/>
        </w:rPr>
        <w:t xml:space="preserve"> In this situation, clipping noise is the most important type of disturbance.</w:t>
      </w:r>
    </w:p>
    <w:p w14:paraId="7B356200" w14:textId="00C5FD18" w:rsidR="001744C2" w:rsidRPr="009426E7" w:rsidRDefault="001744C2" w:rsidP="001744C2">
      <w:pPr>
        <w:pStyle w:val="BodyText"/>
        <w:numPr>
          <w:ilvl w:val="0"/>
          <w:numId w:val="42"/>
        </w:numPr>
        <w:spacing w:after="240"/>
        <w:jc w:val="both"/>
        <w:rPr>
          <w:sz w:val="20"/>
          <w:szCs w:val="20"/>
        </w:rPr>
      </w:pPr>
      <w:r w:rsidRPr="001744C2">
        <w:rPr>
          <w:sz w:val="20"/>
          <w:szCs w:val="20"/>
        </w:rPr>
        <w:t xml:space="preserve">A </w:t>
      </w:r>
      <w:r w:rsidRPr="009426E7">
        <w:rPr>
          <w:sz w:val="20"/>
          <w:szCs w:val="20"/>
        </w:rPr>
        <w:t xml:space="preserve">sTTI transmission ends in the middle (e.g., sTTI during the first slot). This suddenly decreases the received power and may shift the operating point of the receiver well beyond its optimum value. </w:t>
      </w:r>
      <w:r w:rsidR="009426E7">
        <w:rPr>
          <w:sz w:val="20"/>
          <w:szCs w:val="20"/>
        </w:rPr>
        <w:t xml:space="preserve">In this situation, </w:t>
      </w:r>
      <w:r w:rsidR="001D357F">
        <w:rPr>
          <w:sz w:val="20"/>
          <w:szCs w:val="20"/>
        </w:rPr>
        <w:t>quantization</w:t>
      </w:r>
      <w:r w:rsidR="009426E7">
        <w:rPr>
          <w:sz w:val="20"/>
          <w:szCs w:val="20"/>
        </w:rPr>
        <w:t xml:space="preserve"> noise is the most important type of disturbance.</w:t>
      </w:r>
    </w:p>
    <w:p w14:paraId="01FC11F3" w14:textId="4D2C6D37" w:rsidR="009426E7" w:rsidRDefault="009426E7" w:rsidP="00E92726">
      <w:pPr>
        <w:pStyle w:val="BodyText"/>
        <w:spacing w:after="240"/>
        <w:jc w:val="both"/>
        <w:rPr>
          <w:sz w:val="20"/>
          <w:szCs w:val="20"/>
        </w:rPr>
      </w:pPr>
      <w:r>
        <w:rPr>
          <w:sz w:val="20"/>
          <w:szCs w:val="20"/>
        </w:rPr>
        <w:t>In the preceding list, we have only considered the impact to legacy transmissions f</w:t>
      </w:r>
      <w:r w:rsidR="001744C2">
        <w:rPr>
          <w:sz w:val="20"/>
          <w:szCs w:val="20"/>
        </w:rPr>
        <w:t xml:space="preserve">or simplicity. However, the problems </w:t>
      </w:r>
      <w:r>
        <w:rPr>
          <w:sz w:val="20"/>
          <w:szCs w:val="20"/>
        </w:rPr>
        <w:t>may also affect the interaction between sTTI transmissions.</w:t>
      </w:r>
    </w:p>
    <w:p w14:paraId="7C4E56D0" w14:textId="5CB05456" w:rsidR="00CE08DA" w:rsidRDefault="00CE08DA" w:rsidP="00CE08DA">
      <w:pPr>
        <w:pStyle w:val="BodyText"/>
        <w:spacing w:after="240"/>
        <w:jc w:val="both"/>
        <w:rPr>
          <w:b/>
          <w:i/>
          <w:sz w:val="20"/>
          <w:szCs w:val="20"/>
        </w:rPr>
      </w:pPr>
      <w:r>
        <w:rPr>
          <w:b/>
          <w:i/>
          <w:sz w:val="20"/>
          <w:szCs w:val="20"/>
        </w:rPr>
        <w:t>Observation 1</w:t>
      </w:r>
      <w:r w:rsidRPr="003810E1">
        <w:rPr>
          <w:b/>
          <w:i/>
          <w:sz w:val="20"/>
          <w:szCs w:val="20"/>
        </w:rPr>
        <w:t xml:space="preserve">: </w:t>
      </w:r>
    </w:p>
    <w:p w14:paraId="73A042A7" w14:textId="1CB6B990" w:rsidR="00CE08DA" w:rsidRDefault="00CE08DA" w:rsidP="008540C3">
      <w:pPr>
        <w:pStyle w:val="BodyText"/>
        <w:numPr>
          <w:ilvl w:val="0"/>
          <w:numId w:val="44"/>
        </w:numPr>
        <w:spacing w:after="240"/>
        <w:jc w:val="both"/>
        <w:rPr>
          <w:b/>
          <w:i/>
          <w:sz w:val="20"/>
          <w:szCs w:val="20"/>
        </w:rPr>
      </w:pPr>
      <w:r>
        <w:rPr>
          <w:b/>
          <w:i/>
          <w:sz w:val="20"/>
          <w:szCs w:val="20"/>
        </w:rPr>
        <w:t>It is necessary to model the variations in power between AGC and demodulated symbols at the receiver.</w:t>
      </w:r>
    </w:p>
    <w:p w14:paraId="3E85819A" w14:textId="14D71B63" w:rsidR="00680EA0" w:rsidRDefault="009426E7" w:rsidP="00E92726">
      <w:pPr>
        <w:pStyle w:val="BodyText"/>
        <w:spacing w:after="240"/>
        <w:jc w:val="both"/>
        <w:rPr>
          <w:rFonts w:eastAsia="Malgun Gothic"/>
          <w:sz w:val="20"/>
          <w:szCs w:val="20"/>
          <w:lang w:eastAsia="ko-KR"/>
        </w:rPr>
      </w:pPr>
      <w:r>
        <w:rPr>
          <w:sz w:val="20"/>
          <w:szCs w:val="20"/>
        </w:rPr>
        <w:t xml:space="preserve">To model these disturbances, we propose </w:t>
      </w:r>
      <w:r w:rsidR="007C1E30">
        <w:rPr>
          <w:sz w:val="20"/>
          <w:szCs w:val="20"/>
        </w:rPr>
        <w:t xml:space="preserve">to use the following Model (cf. </w:t>
      </w:r>
      <w:r w:rsidR="00A67A73">
        <w:rPr>
          <w:rFonts w:eastAsia="Malgun Gothic"/>
          <w:sz w:val="20"/>
          <w:szCs w:val="20"/>
          <w:lang w:eastAsia="ko-KR"/>
        </w:rPr>
        <w:fldChar w:fldCharType="begin"/>
      </w:r>
      <w:r w:rsidR="00A67A73">
        <w:rPr>
          <w:rFonts w:eastAsia="Malgun Gothic"/>
          <w:sz w:val="20"/>
          <w:szCs w:val="20"/>
          <w:lang w:eastAsia="ko-KR"/>
        </w:rPr>
        <w:instrText xml:space="preserve"> REF _Ref478047449 \r \h </w:instrText>
      </w:r>
      <w:r w:rsidR="00A67A73">
        <w:rPr>
          <w:rFonts w:eastAsia="Malgun Gothic"/>
          <w:sz w:val="20"/>
          <w:szCs w:val="20"/>
          <w:lang w:eastAsia="ko-KR"/>
        </w:rPr>
      </w:r>
      <w:r w:rsidR="00A67A73">
        <w:rPr>
          <w:rFonts w:eastAsia="Malgun Gothic"/>
          <w:sz w:val="20"/>
          <w:szCs w:val="20"/>
          <w:lang w:eastAsia="ko-KR"/>
        </w:rPr>
        <w:fldChar w:fldCharType="separate"/>
      </w:r>
      <w:r w:rsidR="007477FF">
        <w:rPr>
          <w:rFonts w:eastAsia="Malgun Gothic"/>
          <w:sz w:val="20"/>
          <w:szCs w:val="20"/>
          <w:lang w:eastAsia="ko-KR"/>
        </w:rPr>
        <w:t>[3]</w:t>
      </w:r>
      <w:r w:rsidR="00A67A73">
        <w:rPr>
          <w:rFonts w:eastAsia="Malgun Gothic"/>
          <w:sz w:val="20"/>
          <w:szCs w:val="20"/>
          <w:lang w:eastAsia="ko-KR"/>
        </w:rPr>
        <w:fldChar w:fldCharType="end"/>
      </w:r>
      <w:r w:rsidR="007C1E30">
        <w:rPr>
          <w:rFonts w:eastAsia="Malgun Gothic"/>
          <w:sz w:val="20"/>
          <w:szCs w:val="20"/>
          <w:lang w:eastAsia="ko-KR"/>
        </w:rPr>
        <w:t>)</w:t>
      </w:r>
      <w:r>
        <w:rPr>
          <w:rFonts w:eastAsia="Malgun Gothic"/>
          <w:sz w:val="20"/>
          <w:szCs w:val="20"/>
          <w:lang w:eastAsia="ko-KR"/>
        </w:rPr>
        <w:t>:</w:t>
      </w:r>
    </w:p>
    <w:p w14:paraId="05AA58C8" w14:textId="45D05719" w:rsidR="009426E7" w:rsidRDefault="00CA417D" w:rsidP="008540C3">
      <w:pPr>
        <w:pStyle w:val="BodyText"/>
        <w:numPr>
          <w:ilvl w:val="0"/>
          <w:numId w:val="43"/>
        </w:numPr>
        <w:spacing w:after="240"/>
        <w:jc w:val="both"/>
        <w:rPr>
          <w:sz w:val="20"/>
          <w:szCs w:val="20"/>
        </w:rPr>
      </w:pPr>
      <w:r>
        <w:rPr>
          <w:sz w:val="20"/>
          <w:szCs w:val="20"/>
        </w:rPr>
        <w:t>If P</w:t>
      </w:r>
      <w:r w:rsidR="007C1E30" w:rsidRPr="008540C3">
        <w:rPr>
          <w:sz w:val="20"/>
          <w:szCs w:val="20"/>
          <w:vertAlign w:val="subscript"/>
        </w:rPr>
        <w:t>AGC</w:t>
      </w:r>
      <w:r w:rsidR="007C1E30">
        <w:rPr>
          <w:sz w:val="20"/>
          <w:szCs w:val="20"/>
        </w:rPr>
        <w:t xml:space="preserve"> &gt; P</w:t>
      </w:r>
      <w:r w:rsidR="007C1E30" w:rsidRPr="008540C3">
        <w:rPr>
          <w:sz w:val="20"/>
          <w:szCs w:val="20"/>
          <w:vertAlign w:val="subscript"/>
        </w:rPr>
        <w:t>symb</w:t>
      </w:r>
      <w:r w:rsidR="007C1E30">
        <w:rPr>
          <w:sz w:val="20"/>
          <w:szCs w:val="20"/>
        </w:rPr>
        <w:t>, then quantization noise is added.</w:t>
      </w:r>
    </w:p>
    <w:p w14:paraId="387CEC6D" w14:textId="23E8A08E" w:rsidR="007C1E30" w:rsidRPr="004D181A" w:rsidRDefault="007C1E30" w:rsidP="007C1E30">
      <w:pPr>
        <w:pStyle w:val="BodyText"/>
        <w:numPr>
          <w:ilvl w:val="0"/>
          <w:numId w:val="43"/>
        </w:numPr>
        <w:spacing w:after="240"/>
        <w:jc w:val="both"/>
        <w:rPr>
          <w:sz w:val="20"/>
          <w:szCs w:val="20"/>
        </w:rPr>
      </w:pPr>
      <w:r>
        <w:rPr>
          <w:sz w:val="20"/>
          <w:szCs w:val="20"/>
        </w:rPr>
        <w:t>If P</w:t>
      </w:r>
      <w:r w:rsidRPr="004D181A">
        <w:rPr>
          <w:sz w:val="20"/>
          <w:szCs w:val="20"/>
          <w:vertAlign w:val="subscript"/>
        </w:rPr>
        <w:t>symb</w:t>
      </w:r>
      <w:r>
        <w:rPr>
          <w:sz w:val="20"/>
          <w:szCs w:val="20"/>
        </w:rPr>
        <w:t xml:space="preserve"> &lt; P</w:t>
      </w:r>
      <w:r w:rsidRPr="004D181A">
        <w:rPr>
          <w:sz w:val="20"/>
          <w:szCs w:val="20"/>
          <w:vertAlign w:val="subscript"/>
        </w:rPr>
        <w:t>AGC</w:t>
      </w:r>
      <w:r>
        <w:rPr>
          <w:sz w:val="20"/>
          <w:szCs w:val="20"/>
        </w:rPr>
        <w:t>, then quantization and clipping noise are added.</w:t>
      </w:r>
    </w:p>
    <w:p w14:paraId="05F238E2" w14:textId="4282456C" w:rsidR="007C1E30" w:rsidRPr="008540C3" w:rsidRDefault="007C1E30" w:rsidP="007C1E30">
      <w:pPr>
        <w:pStyle w:val="BodyText"/>
        <w:spacing w:after="240"/>
        <w:jc w:val="both"/>
        <w:rPr>
          <w:sz w:val="20"/>
          <w:szCs w:val="20"/>
        </w:rPr>
      </w:pPr>
      <w:r>
        <w:rPr>
          <w:sz w:val="20"/>
          <w:szCs w:val="20"/>
        </w:rPr>
        <w:t>Where P</w:t>
      </w:r>
      <w:r w:rsidRPr="004D181A">
        <w:rPr>
          <w:sz w:val="20"/>
          <w:szCs w:val="20"/>
          <w:vertAlign w:val="subscript"/>
        </w:rPr>
        <w:t>AGC</w:t>
      </w:r>
      <w:r>
        <w:rPr>
          <w:sz w:val="20"/>
          <w:szCs w:val="20"/>
        </w:rPr>
        <w:t xml:space="preserve"> is the value of received power used for settling the AGC </w:t>
      </w:r>
      <w:r w:rsidR="0099008D">
        <w:rPr>
          <w:sz w:val="20"/>
          <w:szCs w:val="20"/>
        </w:rPr>
        <w:t xml:space="preserve">and </w:t>
      </w:r>
      <w:r>
        <w:rPr>
          <w:sz w:val="20"/>
          <w:szCs w:val="20"/>
        </w:rPr>
        <w:t>P</w:t>
      </w:r>
      <w:r>
        <w:rPr>
          <w:sz w:val="20"/>
          <w:szCs w:val="20"/>
          <w:vertAlign w:val="subscript"/>
        </w:rPr>
        <w:t>symb</w:t>
      </w:r>
      <w:r>
        <w:rPr>
          <w:sz w:val="20"/>
          <w:szCs w:val="20"/>
        </w:rPr>
        <w:t xml:space="preserve"> is the value of received power of the demodulated symbol(s). Companies should provide </w:t>
      </w:r>
      <w:r w:rsidR="00DF680E">
        <w:rPr>
          <w:sz w:val="20"/>
          <w:szCs w:val="20"/>
        </w:rPr>
        <w:t xml:space="preserve">the </w:t>
      </w:r>
      <w:r>
        <w:rPr>
          <w:sz w:val="20"/>
          <w:szCs w:val="20"/>
        </w:rPr>
        <w:t>model for the noise</w:t>
      </w:r>
      <w:r w:rsidR="00DF680E">
        <w:rPr>
          <w:sz w:val="20"/>
          <w:szCs w:val="20"/>
        </w:rPr>
        <w:t xml:space="preserve"> used in the simulations</w:t>
      </w:r>
      <w:r>
        <w:rPr>
          <w:sz w:val="20"/>
          <w:szCs w:val="20"/>
        </w:rPr>
        <w:t>.</w:t>
      </w:r>
    </w:p>
    <w:p w14:paraId="2C255317" w14:textId="0BA7C6E2" w:rsidR="001348D5" w:rsidRDefault="00A30D83" w:rsidP="00E92726">
      <w:pPr>
        <w:pStyle w:val="BodyText"/>
        <w:spacing w:after="240"/>
        <w:jc w:val="both"/>
        <w:rPr>
          <w:b/>
          <w:i/>
          <w:sz w:val="20"/>
          <w:szCs w:val="20"/>
        </w:rPr>
      </w:pPr>
      <w:r w:rsidRPr="003810E1">
        <w:rPr>
          <w:b/>
          <w:i/>
          <w:sz w:val="20"/>
          <w:szCs w:val="20"/>
        </w:rPr>
        <w:t>Proposal</w:t>
      </w:r>
      <w:r w:rsidR="0038188D">
        <w:rPr>
          <w:b/>
          <w:i/>
          <w:sz w:val="20"/>
          <w:szCs w:val="20"/>
        </w:rPr>
        <w:t xml:space="preserve"> 1</w:t>
      </w:r>
      <w:r w:rsidRPr="003810E1">
        <w:rPr>
          <w:b/>
          <w:i/>
          <w:sz w:val="20"/>
          <w:szCs w:val="20"/>
        </w:rPr>
        <w:t xml:space="preserve">: </w:t>
      </w:r>
    </w:p>
    <w:p w14:paraId="15F2E637" w14:textId="5E2E23B2" w:rsidR="007C1E30" w:rsidRPr="006E6C48" w:rsidRDefault="007C1E30" w:rsidP="001348D5">
      <w:pPr>
        <w:pStyle w:val="BodyText"/>
        <w:numPr>
          <w:ilvl w:val="0"/>
          <w:numId w:val="41"/>
        </w:numPr>
        <w:spacing w:after="240"/>
        <w:jc w:val="both"/>
        <w:rPr>
          <w:b/>
          <w:i/>
          <w:sz w:val="20"/>
          <w:szCs w:val="20"/>
        </w:rPr>
      </w:pPr>
      <w:r w:rsidRPr="006E6C48">
        <w:rPr>
          <w:b/>
          <w:i/>
          <w:sz w:val="20"/>
          <w:szCs w:val="20"/>
        </w:rPr>
        <w:t>The following model for power variations in the AGC is used:</w:t>
      </w:r>
    </w:p>
    <w:p w14:paraId="752E3282" w14:textId="77777777" w:rsidR="007C1E30" w:rsidRPr="008540C3" w:rsidRDefault="007C1E30" w:rsidP="008540C3">
      <w:pPr>
        <w:pStyle w:val="BodyText"/>
        <w:numPr>
          <w:ilvl w:val="1"/>
          <w:numId w:val="41"/>
        </w:numPr>
        <w:spacing w:after="240"/>
        <w:jc w:val="both"/>
        <w:rPr>
          <w:b/>
          <w:i/>
          <w:sz w:val="20"/>
          <w:szCs w:val="20"/>
        </w:rPr>
      </w:pPr>
      <w:r w:rsidRPr="008540C3">
        <w:rPr>
          <w:b/>
          <w:i/>
          <w:sz w:val="20"/>
          <w:szCs w:val="20"/>
        </w:rPr>
        <w:t>If P</w:t>
      </w:r>
      <w:r w:rsidRPr="008540C3">
        <w:rPr>
          <w:b/>
          <w:i/>
          <w:sz w:val="20"/>
          <w:szCs w:val="20"/>
          <w:vertAlign w:val="subscript"/>
        </w:rPr>
        <w:t>AGC</w:t>
      </w:r>
      <w:r w:rsidRPr="008540C3">
        <w:rPr>
          <w:b/>
          <w:i/>
          <w:sz w:val="20"/>
          <w:szCs w:val="20"/>
        </w:rPr>
        <w:t xml:space="preserve"> &gt; P</w:t>
      </w:r>
      <w:r w:rsidRPr="008540C3">
        <w:rPr>
          <w:b/>
          <w:i/>
          <w:sz w:val="20"/>
          <w:szCs w:val="20"/>
          <w:vertAlign w:val="subscript"/>
        </w:rPr>
        <w:t>symb</w:t>
      </w:r>
      <w:r w:rsidRPr="008540C3">
        <w:rPr>
          <w:b/>
          <w:i/>
          <w:sz w:val="20"/>
          <w:szCs w:val="20"/>
        </w:rPr>
        <w:t>, then quantization noise is added.</w:t>
      </w:r>
    </w:p>
    <w:p w14:paraId="7008494A" w14:textId="4C91F85E" w:rsidR="007C1E30" w:rsidRPr="008540C3" w:rsidRDefault="007C1E30" w:rsidP="008540C3">
      <w:pPr>
        <w:pStyle w:val="BodyText"/>
        <w:numPr>
          <w:ilvl w:val="1"/>
          <w:numId w:val="41"/>
        </w:numPr>
        <w:spacing w:after="240"/>
        <w:jc w:val="both"/>
        <w:rPr>
          <w:b/>
          <w:i/>
          <w:sz w:val="20"/>
          <w:szCs w:val="20"/>
        </w:rPr>
      </w:pPr>
      <w:r w:rsidRPr="008540C3">
        <w:rPr>
          <w:b/>
          <w:i/>
          <w:sz w:val="20"/>
          <w:szCs w:val="20"/>
        </w:rPr>
        <w:t>If P</w:t>
      </w:r>
      <w:r w:rsidRPr="008540C3">
        <w:rPr>
          <w:b/>
          <w:i/>
          <w:sz w:val="20"/>
          <w:szCs w:val="20"/>
          <w:vertAlign w:val="subscript"/>
        </w:rPr>
        <w:t>symb</w:t>
      </w:r>
      <w:r w:rsidRPr="008540C3">
        <w:rPr>
          <w:b/>
          <w:i/>
          <w:sz w:val="20"/>
          <w:szCs w:val="20"/>
        </w:rPr>
        <w:t xml:space="preserve"> &lt; P</w:t>
      </w:r>
      <w:r w:rsidRPr="008540C3">
        <w:rPr>
          <w:b/>
          <w:i/>
          <w:sz w:val="20"/>
          <w:szCs w:val="20"/>
          <w:vertAlign w:val="subscript"/>
        </w:rPr>
        <w:t>AGC</w:t>
      </w:r>
      <w:r w:rsidRPr="008540C3">
        <w:rPr>
          <w:b/>
          <w:i/>
          <w:sz w:val="20"/>
          <w:szCs w:val="20"/>
        </w:rPr>
        <w:t>, then quantization and clipping noise are added.</w:t>
      </w:r>
    </w:p>
    <w:p w14:paraId="06022F06" w14:textId="086738A9" w:rsidR="007C1E30" w:rsidRPr="008540C3" w:rsidRDefault="007C1E30" w:rsidP="008540C3">
      <w:pPr>
        <w:pStyle w:val="BodyText"/>
        <w:numPr>
          <w:ilvl w:val="2"/>
          <w:numId w:val="41"/>
        </w:numPr>
        <w:spacing w:after="240"/>
        <w:jc w:val="both"/>
        <w:rPr>
          <w:b/>
          <w:i/>
          <w:sz w:val="20"/>
          <w:szCs w:val="20"/>
        </w:rPr>
      </w:pPr>
      <w:r w:rsidRPr="008540C3">
        <w:rPr>
          <w:b/>
          <w:i/>
          <w:sz w:val="20"/>
          <w:szCs w:val="20"/>
        </w:rPr>
        <w:t>P</w:t>
      </w:r>
      <w:r w:rsidRPr="008540C3">
        <w:rPr>
          <w:b/>
          <w:i/>
          <w:sz w:val="20"/>
          <w:szCs w:val="20"/>
          <w:vertAlign w:val="subscript"/>
        </w:rPr>
        <w:t>AGC</w:t>
      </w:r>
      <w:r w:rsidRPr="008540C3">
        <w:rPr>
          <w:b/>
          <w:i/>
          <w:sz w:val="20"/>
          <w:szCs w:val="20"/>
        </w:rPr>
        <w:t xml:space="preserve"> is the value of received power used for settling the AGC</w:t>
      </w:r>
      <w:r w:rsidR="006E6C48">
        <w:rPr>
          <w:b/>
          <w:i/>
          <w:sz w:val="20"/>
          <w:szCs w:val="20"/>
        </w:rPr>
        <w:t>.</w:t>
      </w:r>
    </w:p>
    <w:p w14:paraId="7FDF1E37" w14:textId="7AF54F22" w:rsidR="007C1E30" w:rsidRPr="008540C3" w:rsidRDefault="007C1E30" w:rsidP="008540C3">
      <w:pPr>
        <w:pStyle w:val="BodyText"/>
        <w:numPr>
          <w:ilvl w:val="2"/>
          <w:numId w:val="41"/>
        </w:numPr>
        <w:spacing w:after="240"/>
        <w:jc w:val="both"/>
        <w:rPr>
          <w:b/>
          <w:i/>
          <w:sz w:val="20"/>
          <w:szCs w:val="20"/>
        </w:rPr>
      </w:pPr>
      <w:r w:rsidRPr="008540C3">
        <w:rPr>
          <w:b/>
          <w:i/>
          <w:sz w:val="20"/>
          <w:szCs w:val="20"/>
        </w:rPr>
        <w:lastRenderedPageBreak/>
        <w:t>P</w:t>
      </w:r>
      <w:r w:rsidRPr="008540C3">
        <w:rPr>
          <w:b/>
          <w:i/>
          <w:sz w:val="20"/>
          <w:szCs w:val="20"/>
          <w:vertAlign w:val="subscript"/>
        </w:rPr>
        <w:t>symb</w:t>
      </w:r>
      <w:r w:rsidRPr="008540C3">
        <w:rPr>
          <w:b/>
          <w:i/>
          <w:sz w:val="20"/>
          <w:szCs w:val="20"/>
        </w:rPr>
        <w:t xml:space="preserve"> is the value of</w:t>
      </w:r>
      <w:r w:rsidR="001D357F">
        <w:rPr>
          <w:b/>
          <w:i/>
          <w:sz w:val="20"/>
          <w:szCs w:val="20"/>
        </w:rPr>
        <w:t xml:space="preserve"> </w:t>
      </w:r>
      <w:r w:rsidRPr="008540C3">
        <w:rPr>
          <w:b/>
          <w:i/>
          <w:sz w:val="20"/>
          <w:szCs w:val="20"/>
        </w:rPr>
        <w:t>received power of the demodulated symbol(s)</w:t>
      </w:r>
      <w:r w:rsidR="006E6C48">
        <w:rPr>
          <w:b/>
          <w:i/>
          <w:sz w:val="20"/>
          <w:szCs w:val="20"/>
        </w:rPr>
        <w:t>.</w:t>
      </w:r>
      <w:r w:rsidRPr="008540C3">
        <w:rPr>
          <w:b/>
          <w:i/>
          <w:sz w:val="20"/>
          <w:szCs w:val="20"/>
        </w:rPr>
        <w:t xml:space="preserve"> </w:t>
      </w:r>
    </w:p>
    <w:p w14:paraId="2F3F029B" w14:textId="1AAE1C53" w:rsidR="007C1E30" w:rsidRPr="008540C3" w:rsidRDefault="007C1E30" w:rsidP="008540C3">
      <w:pPr>
        <w:pStyle w:val="BodyText"/>
        <w:numPr>
          <w:ilvl w:val="2"/>
          <w:numId w:val="41"/>
        </w:numPr>
        <w:spacing w:after="240"/>
        <w:jc w:val="both"/>
        <w:rPr>
          <w:b/>
          <w:i/>
          <w:sz w:val="20"/>
          <w:szCs w:val="20"/>
        </w:rPr>
      </w:pPr>
      <w:r w:rsidRPr="008540C3">
        <w:rPr>
          <w:b/>
          <w:i/>
          <w:sz w:val="20"/>
          <w:szCs w:val="20"/>
        </w:rPr>
        <w:t xml:space="preserve">Companies </w:t>
      </w:r>
      <w:r w:rsidR="00772E25">
        <w:rPr>
          <w:b/>
          <w:i/>
          <w:sz w:val="20"/>
          <w:szCs w:val="20"/>
        </w:rPr>
        <w:t>to</w:t>
      </w:r>
      <w:r w:rsidRPr="008540C3">
        <w:rPr>
          <w:b/>
          <w:i/>
          <w:sz w:val="20"/>
          <w:szCs w:val="20"/>
        </w:rPr>
        <w:t xml:space="preserve"> provide </w:t>
      </w:r>
      <w:r w:rsidR="00772E25">
        <w:rPr>
          <w:b/>
          <w:i/>
          <w:sz w:val="20"/>
          <w:szCs w:val="20"/>
        </w:rPr>
        <w:t>the</w:t>
      </w:r>
      <w:r w:rsidRPr="008540C3">
        <w:rPr>
          <w:b/>
          <w:i/>
          <w:sz w:val="20"/>
          <w:szCs w:val="20"/>
        </w:rPr>
        <w:t xml:space="preserve"> model for the noise </w:t>
      </w:r>
      <w:r w:rsidR="00772E25">
        <w:rPr>
          <w:b/>
          <w:i/>
          <w:sz w:val="20"/>
          <w:szCs w:val="20"/>
        </w:rPr>
        <w:t>used in the simulations</w:t>
      </w:r>
      <w:r w:rsidR="003C6B8C">
        <w:rPr>
          <w:b/>
          <w:i/>
          <w:sz w:val="20"/>
          <w:szCs w:val="20"/>
        </w:rPr>
        <w:t>.</w:t>
      </w:r>
    </w:p>
    <w:p w14:paraId="3C4455C8" w14:textId="37DB6028" w:rsidR="00706C19" w:rsidRDefault="00706C19" w:rsidP="00706C19">
      <w:pPr>
        <w:pStyle w:val="Heading1"/>
      </w:pPr>
      <w:r w:rsidRPr="00744368">
        <w:t xml:space="preserve">Conclusion </w:t>
      </w:r>
    </w:p>
    <w:p w14:paraId="6AFED881" w14:textId="3D1C3010" w:rsidR="00950065" w:rsidRDefault="00950065" w:rsidP="009B50BD">
      <w:pPr>
        <w:jc w:val="both"/>
        <w:rPr>
          <w:lang w:val="en-US" w:eastAsia="zh-CN"/>
        </w:rPr>
      </w:pPr>
      <w:r w:rsidRPr="007332CC">
        <w:rPr>
          <w:lang w:val="en-US" w:eastAsia="zh-CN"/>
        </w:rPr>
        <w:t xml:space="preserve">In this paper we have </w:t>
      </w:r>
      <w:r w:rsidR="00F05F35" w:rsidRPr="007332CC">
        <w:rPr>
          <w:lang w:val="en-US" w:eastAsia="zh-CN"/>
        </w:rPr>
        <w:t xml:space="preserve">discussed the </w:t>
      </w:r>
      <w:r w:rsidR="00680EA0" w:rsidRPr="007332CC">
        <w:rPr>
          <w:lang w:val="en-US" w:eastAsia="zh-CN"/>
        </w:rPr>
        <w:t>outstanding issues on the system level simulations for sTTI.</w:t>
      </w:r>
      <w:r w:rsidR="00F05F35" w:rsidRPr="007332CC">
        <w:rPr>
          <w:lang w:val="en-US" w:eastAsia="zh-CN"/>
        </w:rPr>
        <w:t xml:space="preserve"> We have </w:t>
      </w:r>
      <w:r w:rsidRPr="007332CC">
        <w:rPr>
          <w:lang w:val="en-US" w:eastAsia="zh-CN"/>
        </w:rPr>
        <w:t>observed and proposed the following:</w:t>
      </w:r>
    </w:p>
    <w:p w14:paraId="01FBC9CB" w14:textId="77777777" w:rsidR="007332CC" w:rsidRDefault="007332CC" w:rsidP="007332CC">
      <w:pPr>
        <w:pStyle w:val="BodyText"/>
        <w:spacing w:after="240"/>
        <w:jc w:val="both"/>
        <w:rPr>
          <w:b/>
          <w:i/>
          <w:sz w:val="20"/>
          <w:szCs w:val="20"/>
        </w:rPr>
      </w:pPr>
      <w:r>
        <w:rPr>
          <w:b/>
          <w:i/>
          <w:sz w:val="20"/>
          <w:szCs w:val="20"/>
        </w:rPr>
        <w:t>Observation 1</w:t>
      </w:r>
      <w:r w:rsidRPr="003810E1">
        <w:rPr>
          <w:b/>
          <w:i/>
          <w:sz w:val="20"/>
          <w:szCs w:val="20"/>
        </w:rPr>
        <w:t xml:space="preserve">: </w:t>
      </w:r>
    </w:p>
    <w:p w14:paraId="337918C2" w14:textId="77777777" w:rsidR="007332CC" w:rsidRDefault="007332CC" w:rsidP="007332CC">
      <w:pPr>
        <w:pStyle w:val="BodyText"/>
        <w:numPr>
          <w:ilvl w:val="0"/>
          <w:numId w:val="44"/>
        </w:numPr>
        <w:spacing w:after="240"/>
        <w:jc w:val="both"/>
        <w:rPr>
          <w:b/>
          <w:i/>
          <w:sz w:val="20"/>
          <w:szCs w:val="20"/>
        </w:rPr>
      </w:pPr>
      <w:r>
        <w:rPr>
          <w:b/>
          <w:i/>
          <w:sz w:val="20"/>
          <w:szCs w:val="20"/>
        </w:rPr>
        <w:t>It is necessary to model the variations in power between AGC and demodulated symbols at the receiver.</w:t>
      </w:r>
    </w:p>
    <w:p w14:paraId="1A3A6B5D" w14:textId="77777777" w:rsidR="007332CC" w:rsidRDefault="00F05F35" w:rsidP="007332CC">
      <w:pPr>
        <w:pStyle w:val="BodyText"/>
        <w:spacing w:after="240"/>
        <w:jc w:val="both"/>
        <w:rPr>
          <w:b/>
          <w:i/>
          <w:sz w:val="20"/>
          <w:szCs w:val="20"/>
        </w:rPr>
      </w:pPr>
      <w:r>
        <w:rPr>
          <w:b/>
          <w:i/>
          <w:sz w:val="20"/>
          <w:szCs w:val="20"/>
        </w:rPr>
        <w:t xml:space="preserve"> </w:t>
      </w:r>
      <w:r w:rsidR="007332CC" w:rsidRPr="003810E1">
        <w:rPr>
          <w:b/>
          <w:i/>
          <w:sz w:val="20"/>
          <w:szCs w:val="20"/>
        </w:rPr>
        <w:t>Proposal</w:t>
      </w:r>
      <w:r w:rsidR="007332CC">
        <w:rPr>
          <w:b/>
          <w:i/>
          <w:sz w:val="20"/>
          <w:szCs w:val="20"/>
        </w:rPr>
        <w:t xml:space="preserve"> 1</w:t>
      </w:r>
      <w:r w:rsidR="007332CC" w:rsidRPr="003810E1">
        <w:rPr>
          <w:b/>
          <w:i/>
          <w:sz w:val="20"/>
          <w:szCs w:val="20"/>
        </w:rPr>
        <w:t xml:space="preserve">: </w:t>
      </w:r>
    </w:p>
    <w:p w14:paraId="4E358CFA" w14:textId="77777777" w:rsidR="007332CC" w:rsidRPr="006E6C48" w:rsidRDefault="007332CC" w:rsidP="007332CC">
      <w:pPr>
        <w:pStyle w:val="BodyText"/>
        <w:numPr>
          <w:ilvl w:val="0"/>
          <w:numId w:val="41"/>
        </w:numPr>
        <w:spacing w:after="240"/>
        <w:jc w:val="both"/>
        <w:rPr>
          <w:b/>
          <w:i/>
          <w:sz w:val="20"/>
          <w:szCs w:val="20"/>
        </w:rPr>
      </w:pPr>
      <w:r w:rsidRPr="006E6C48">
        <w:rPr>
          <w:b/>
          <w:i/>
          <w:sz w:val="20"/>
          <w:szCs w:val="20"/>
        </w:rPr>
        <w:t>The following model for power variations in the AGC is used:</w:t>
      </w:r>
    </w:p>
    <w:p w14:paraId="776E2384" w14:textId="77777777" w:rsidR="007332CC" w:rsidRPr="008540C3" w:rsidRDefault="007332CC" w:rsidP="007332CC">
      <w:pPr>
        <w:pStyle w:val="BodyText"/>
        <w:numPr>
          <w:ilvl w:val="1"/>
          <w:numId w:val="41"/>
        </w:numPr>
        <w:spacing w:after="240"/>
        <w:jc w:val="both"/>
        <w:rPr>
          <w:b/>
          <w:i/>
          <w:sz w:val="20"/>
          <w:szCs w:val="20"/>
        </w:rPr>
      </w:pPr>
      <w:r w:rsidRPr="008540C3">
        <w:rPr>
          <w:b/>
          <w:i/>
          <w:sz w:val="20"/>
          <w:szCs w:val="20"/>
        </w:rPr>
        <w:t>If P</w:t>
      </w:r>
      <w:r w:rsidRPr="008540C3">
        <w:rPr>
          <w:b/>
          <w:i/>
          <w:sz w:val="20"/>
          <w:szCs w:val="20"/>
          <w:vertAlign w:val="subscript"/>
        </w:rPr>
        <w:t>AGC</w:t>
      </w:r>
      <w:r w:rsidRPr="008540C3">
        <w:rPr>
          <w:b/>
          <w:i/>
          <w:sz w:val="20"/>
          <w:szCs w:val="20"/>
        </w:rPr>
        <w:t xml:space="preserve"> &gt; P</w:t>
      </w:r>
      <w:r w:rsidRPr="008540C3">
        <w:rPr>
          <w:b/>
          <w:i/>
          <w:sz w:val="20"/>
          <w:szCs w:val="20"/>
          <w:vertAlign w:val="subscript"/>
        </w:rPr>
        <w:t>symb</w:t>
      </w:r>
      <w:r w:rsidRPr="008540C3">
        <w:rPr>
          <w:b/>
          <w:i/>
          <w:sz w:val="20"/>
          <w:szCs w:val="20"/>
        </w:rPr>
        <w:t>, then quantization noise is added.</w:t>
      </w:r>
    </w:p>
    <w:p w14:paraId="575570D8" w14:textId="77777777" w:rsidR="007332CC" w:rsidRPr="008540C3" w:rsidRDefault="007332CC" w:rsidP="007332CC">
      <w:pPr>
        <w:pStyle w:val="BodyText"/>
        <w:numPr>
          <w:ilvl w:val="1"/>
          <w:numId w:val="41"/>
        </w:numPr>
        <w:spacing w:after="240"/>
        <w:jc w:val="both"/>
        <w:rPr>
          <w:b/>
          <w:i/>
          <w:sz w:val="20"/>
          <w:szCs w:val="20"/>
        </w:rPr>
      </w:pPr>
      <w:r w:rsidRPr="008540C3">
        <w:rPr>
          <w:b/>
          <w:i/>
          <w:sz w:val="20"/>
          <w:szCs w:val="20"/>
        </w:rPr>
        <w:t>If P</w:t>
      </w:r>
      <w:r w:rsidRPr="008540C3">
        <w:rPr>
          <w:b/>
          <w:i/>
          <w:sz w:val="20"/>
          <w:szCs w:val="20"/>
          <w:vertAlign w:val="subscript"/>
        </w:rPr>
        <w:t>symb</w:t>
      </w:r>
      <w:r w:rsidRPr="008540C3">
        <w:rPr>
          <w:b/>
          <w:i/>
          <w:sz w:val="20"/>
          <w:szCs w:val="20"/>
        </w:rPr>
        <w:t xml:space="preserve"> &lt; P</w:t>
      </w:r>
      <w:r w:rsidRPr="008540C3">
        <w:rPr>
          <w:b/>
          <w:i/>
          <w:sz w:val="20"/>
          <w:szCs w:val="20"/>
          <w:vertAlign w:val="subscript"/>
        </w:rPr>
        <w:t>AGC</w:t>
      </w:r>
      <w:r w:rsidRPr="008540C3">
        <w:rPr>
          <w:b/>
          <w:i/>
          <w:sz w:val="20"/>
          <w:szCs w:val="20"/>
        </w:rPr>
        <w:t>, then quantization and clipping noise are added.</w:t>
      </w:r>
    </w:p>
    <w:p w14:paraId="03D6EBE9" w14:textId="77777777" w:rsidR="007332CC" w:rsidRPr="008540C3" w:rsidRDefault="007332CC" w:rsidP="007332CC">
      <w:pPr>
        <w:pStyle w:val="BodyText"/>
        <w:numPr>
          <w:ilvl w:val="2"/>
          <w:numId w:val="41"/>
        </w:numPr>
        <w:spacing w:after="240"/>
        <w:jc w:val="both"/>
        <w:rPr>
          <w:b/>
          <w:i/>
          <w:sz w:val="20"/>
          <w:szCs w:val="20"/>
        </w:rPr>
      </w:pPr>
      <w:r w:rsidRPr="008540C3">
        <w:rPr>
          <w:b/>
          <w:i/>
          <w:sz w:val="20"/>
          <w:szCs w:val="20"/>
        </w:rPr>
        <w:t>P</w:t>
      </w:r>
      <w:r w:rsidRPr="008540C3">
        <w:rPr>
          <w:b/>
          <w:i/>
          <w:sz w:val="20"/>
          <w:szCs w:val="20"/>
          <w:vertAlign w:val="subscript"/>
        </w:rPr>
        <w:t>AGC</w:t>
      </w:r>
      <w:r w:rsidRPr="008540C3">
        <w:rPr>
          <w:b/>
          <w:i/>
          <w:sz w:val="20"/>
          <w:szCs w:val="20"/>
        </w:rPr>
        <w:t xml:space="preserve"> is the value of received power used for settling the AGC</w:t>
      </w:r>
      <w:r>
        <w:rPr>
          <w:b/>
          <w:i/>
          <w:sz w:val="20"/>
          <w:szCs w:val="20"/>
        </w:rPr>
        <w:t>.</w:t>
      </w:r>
    </w:p>
    <w:p w14:paraId="6724EA29" w14:textId="77777777" w:rsidR="007332CC" w:rsidRPr="008540C3" w:rsidRDefault="007332CC" w:rsidP="007332CC">
      <w:pPr>
        <w:pStyle w:val="BodyText"/>
        <w:numPr>
          <w:ilvl w:val="2"/>
          <w:numId w:val="41"/>
        </w:numPr>
        <w:spacing w:after="240"/>
        <w:jc w:val="both"/>
        <w:rPr>
          <w:b/>
          <w:i/>
          <w:sz w:val="20"/>
          <w:szCs w:val="20"/>
        </w:rPr>
      </w:pPr>
      <w:r w:rsidRPr="008540C3">
        <w:rPr>
          <w:b/>
          <w:i/>
          <w:sz w:val="20"/>
          <w:szCs w:val="20"/>
        </w:rPr>
        <w:t>P</w:t>
      </w:r>
      <w:r w:rsidRPr="008540C3">
        <w:rPr>
          <w:b/>
          <w:i/>
          <w:sz w:val="20"/>
          <w:szCs w:val="20"/>
          <w:vertAlign w:val="subscript"/>
        </w:rPr>
        <w:t>symb</w:t>
      </w:r>
      <w:r w:rsidRPr="008540C3">
        <w:rPr>
          <w:b/>
          <w:i/>
          <w:sz w:val="20"/>
          <w:szCs w:val="20"/>
        </w:rPr>
        <w:t xml:space="preserve"> is the value of</w:t>
      </w:r>
      <w:r>
        <w:rPr>
          <w:b/>
          <w:i/>
          <w:sz w:val="20"/>
          <w:szCs w:val="20"/>
        </w:rPr>
        <w:t xml:space="preserve"> </w:t>
      </w:r>
      <w:r w:rsidRPr="008540C3">
        <w:rPr>
          <w:b/>
          <w:i/>
          <w:sz w:val="20"/>
          <w:szCs w:val="20"/>
        </w:rPr>
        <w:t>received power of the demodulated symbol(s)</w:t>
      </w:r>
      <w:r>
        <w:rPr>
          <w:b/>
          <w:i/>
          <w:sz w:val="20"/>
          <w:szCs w:val="20"/>
        </w:rPr>
        <w:t>.</w:t>
      </w:r>
      <w:r w:rsidRPr="008540C3">
        <w:rPr>
          <w:b/>
          <w:i/>
          <w:sz w:val="20"/>
          <w:szCs w:val="20"/>
        </w:rPr>
        <w:t xml:space="preserve"> </w:t>
      </w:r>
    </w:p>
    <w:p w14:paraId="69C26D9E" w14:textId="24940BFB" w:rsidR="00F05F35" w:rsidRPr="007332CC" w:rsidRDefault="007332CC" w:rsidP="007332CC">
      <w:pPr>
        <w:pStyle w:val="BodyText"/>
        <w:numPr>
          <w:ilvl w:val="2"/>
          <w:numId w:val="41"/>
        </w:numPr>
        <w:spacing w:after="240"/>
        <w:jc w:val="both"/>
        <w:rPr>
          <w:b/>
          <w:i/>
          <w:sz w:val="20"/>
          <w:szCs w:val="20"/>
        </w:rPr>
      </w:pPr>
      <w:r w:rsidRPr="008540C3">
        <w:rPr>
          <w:b/>
          <w:i/>
          <w:sz w:val="20"/>
          <w:szCs w:val="20"/>
        </w:rPr>
        <w:t xml:space="preserve">Companies </w:t>
      </w:r>
      <w:r>
        <w:rPr>
          <w:b/>
          <w:i/>
          <w:sz w:val="20"/>
          <w:szCs w:val="20"/>
        </w:rPr>
        <w:t>to</w:t>
      </w:r>
      <w:r w:rsidRPr="008540C3">
        <w:rPr>
          <w:b/>
          <w:i/>
          <w:sz w:val="20"/>
          <w:szCs w:val="20"/>
        </w:rPr>
        <w:t xml:space="preserve"> provide </w:t>
      </w:r>
      <w:r>
        <w:rPr>
          <w:b/>
          <w:i/>
          <w:sz w:val="20"/>
          <w:szCs w:val="20"/>
        </w:rPr>
        <w:t>the</w:t>
      </w:r>
      <w:r w:rsidRPr="008540C3">
        <w:rPr>
          <w:b/>
          <w:i/>
          <w:sz w:val="20"/>
          <w:szCs w:val="20"/>
        </w:rPr>
        <w:t xml:space="preserve"> model for the noise </w:t>
      </w:r>
      <w:r>
        <w:rPr>
          <w:b/>
          <w:i/>
          <w:sz w:val="20"/>
          <w:szCs w:val="20"/>
        </w:rPr>
        <w:t>used in the simulations.</w:t>
      </w:r>
    </w:p>
    <w:p w14:paraId="5036C165" w14:textId="77777777" w:rsidR="00706C19" w:rsidRPr="00DA1475" w:rsidRDefault="00706C19" w:rsidP="00706C19">
      <w:pPr>
        <w:pStyle w:val="Heading1"/>
      </w:pPr>
      <w:r w:rsidRPr="00DA1475">
        <w:t>Reference</w:t>
      </w:r>
    </w:p>
    <w:p w14:paraId="43C39FC8" w14:textId="4CCB025D" w:rsidR="00953777" w:rsidRDefault="00953777" w:rsidP="00E134E4">
      <w:pPr>
        <w:pStyle w:val="ListParagraph"/>
        <w:ind w:left="567"/>
        <w:rPr>
          <w:rFonts w:ascii="Times New Roman" w:hAnsi="Times New Roman" w:cs="Times New Roman"/>
          <w:color w:val="312E25"/>
          <w:sz w:val="20"/>
          <w:szCs w:val="20"/>
          <w:lang w:eastAsia="sv-SE"/>
        </w:rPr>
      </w:pPr>
      <w:bookmarkStart w:id="4" w:name="_Ref481589982"/>
      <w:bookmarkStart w:id="5" w:name="_Ref477334379"/>
      <w:bookmarkStart w:id="6" w:name="_Ref462922309"/>
      <w:bookmarkStart w:id="7" w:name="_Ref450915949"/>
    </w:p>
    <w:p w14:paraId="1588CC25" w14:textId="23269862" w:rsidR="00B9028E" w:rsidRDefault="00262324" w:rsidP="00082BCD">
      <w:pPr>
        <w:pStyle w:val="ListParagraph"/>
        <w:numPr>
          <w:ilvl w:val="0"/>
          <w:numId w:val="9"/>
        </w:numPr>
        <w:ind w:left="567" w:hanging="425"/>
        <w:rPr>
          <w:rFonts w:ascii="Times New Roman" w:hAnsi="Times New Roman" w:cs="Times New Roman"/>
          <w:color w:val="312E25"/>
          <w:sz w:val="20"/>
          <w:szCs w:val="20"/>
          <w:lang w:eastAsia="sv-SE"/>
        </w:rPr>
      </w:pPr>
      <w:bookmarkStart w:id="8" w:name="_Ref481590073"/>
      <w:bookmarkStart w:id="9" w:name="_Ref477334356"/>
      <w:r w:rsidRPr="00C844BE">
        <w:rPr>
          <w:rFonts w:ascii="Times New Roman" w:hAnsi="Times New Roman" w:cs="Times New Roman"/>
          <w:color w:val="312E25"/>
          <w:sz w:val="20"/>
          <w:szCs w:val="20"/>
          <w:lang w:eastAsia="sv-SE"/>
        </w:rPr>
        <w:t>RP-170798</w:t>
      </w:r>
      <w:r w:rsidRPr="00C844BE">
        <w:rPr>
          <w:rFonts w:ascii="Times New Roman" w:hAnsi="Times New Roman" w:cs="Times New Roman"/>
          <w:color w:val="312E25"/>
          <w:sz w:val="20"/>
          <w:szCs w:val="20"/>
          <w:lang w:eastAsia="sv-SE"/>
        </w:rPr>
        <w:tab/>
        <w:t>New WID on 3GPP V2X Phase 2</w:t>
      </w:r>
      <w:bookmarkEnd w:id="8"/>
      <w:bookmarkEnd w:id="9"/>
    </w:p>
    <w:p w14:paraId="17E07803" w14:textId="53D7B6B3" w:rsidR="007B7D1E" w:rsidRPr="008540C3" w:rsidRDefault="008540C3" w:rsidP="00082BCD">
      <w:pPr>
        <w:pStyle w:val="ListParagraph"/>
        <w:numPr>
          <w:ilvl w:val="0"/>
          <w:numId w:val="9"/>
        </w:numPr>
        <w:ind w:left="567" w:hanging="425"/>
        <w:rPr>
          <w:rFonts w:ascii="Times New Roman" w:hAnsi="Times New Roman" w:cs="Times New Roman"/>
          <w:color w:val="312E25"/>
          <w:sz w:val="20"/>
          <w:szCs w:val="20"/>
          <w:lang w:eastAsia="sv-SE"/>
        </w:rPr>
      </w:pPr>
      <w:bookmarkStart w:id="10" w:name="_Ref481590079"/>
      <w:r w:rsidRPr="008540C3">
        <w:rPr>
          <w:rFonts w:ascii="Times New Roman" w:hAnsi="Times New Roman" w:cs="Times New Roman"/>
          <w:color w:val="312E25"/>
          <w:sz w:val="20"/>
          <w:szCs w:val="20"/>
          <w:lang w:eastAsia="sv-SE"/>
        </w:rPr>
        <w:t>Chairman’s notes</w:t>
      </w:r>
      <w:r>
        <w:rPr>
          <w:rFonts w:ascii="Times New Roman" w:hAnsi="Times New Roman" w:cs="Times New Roman"/>
          <w:color w:val="312E25"/>
          <w:sz w:val="20"/>
          <w:szCs w:val="20"/>
          <w:lang w:eastAsia="sv-SE"/>
        </w:rPr>
        <w:t>,</w:t>
      </w:r>
      <w:r w:rsidRPr="008540C3">
        <w:rPr>
          <w:rFonts w:ascii="Times New Roman" w:hAnsi="Times New Roman" w:cs="Times New Roman"/>
          <w:color w:val="312E25"/>
          <w:sz w:val="20"/>
          <w:szCs w:val="20"/>
          <w:lang w:eastAsia="sv-SE"/>
        </w:rPr>
        <w:t xml:space="preserve"> RAN1#88bis</w:t>
      </w:r>
      <w:r w:rsidR="007B7D1E" w:rsidRPr="008540C3">
        <w:rPr>
          <w:rFonts w:ascii="Times New Roman" w:hAnsi="Times New Roman" w:cs="Times New Roman"/>
          <w:color w:val="312E25"/>
          <w:sz w:val="20"/>
          <w:szCs w:val="20"/>
          <w:lang w:eastAsia="sv-SE"/>
        </w:rPr>
        <w:t>.</w:t>
      </w:r>
      <w:bookmarkEnd w:id="4"/>
      <w:bookmarkEnd w:id="10"/>
    </w:p>
    <w:p w14:paraId="796D2E03" w14:textId="1ADFAB1B" w:rsidR="0002716F" w:rsidRPr="008540C3" w:rsidRDefault="0002716F" w:rsidP="00E92726">
      <w:pPr>
        <w:pStyle w:val="ListParagraph"/>
        <w:numPr>
          <w:ilvl w:val="0"/>
          <w:numId w:val="9"/>
        </w:numPr>
        <w:ind w:left="567" w:hanging="425"/>
        <w:rPr>
          <w:rFonts w:ascii="Times New Roman" w:hAnsi="Times New Roman" w:cs="Times New Roman"/>
          <w:color w:val="312E25"/>
          <w:sz w:val="20"/>
          <w:szCs w:val="20"/>
          <w:lang w:eastAsia="sv-SE"/>
        </w:rPr>
      </w:pPr>
      <w:bookmarkStart w:id="11" w:name="_Ref478047449"/>
      <w:bookmarkEnd w:id="5"/>
      <w:r w:rsidRPr="008540C3">
        <w:rPr>
          <w:rFonts w:ascii="Times New Roman" w:hAnsi="Times New Roman" w:cs="Times New Roman"/>
          <w:color w:val="312E25"/>
          <w:sz w:val="20"/>
          <w:szCs w:val="20"/>
          <w:lang w:eastAsia="sv-SE"/>
        </w:rPr>
        <w:t>R</w:t>
      </w:r>
      <w:r w:rsidR="00A85133" w:rsidRPr="008540C3">
        <w:rPr>
          <w:rFonts w:ascii="Times New Roman" w:hAnsi="Times New Roman" w:cs="Times New Roman"/>
          <w:color w:val="312E25"/>
          <w:sz w:val="20"/>
          <w:szCs w:val="20"/>
          <w:lang w:eastAsia="sv-SE"/>
        </w:rPr>
        <w:t>1</w:t>
      </w:r>
      <w:r w:rsidRPr="008540C3">
        <w:rPr>
          <w:rFonts w:ascii="Times New Roman" w:hAnsi="Times New Roman" w:cs="Times New Roman"/>
          <w:color w:val="312E25"/>
          <w:sz w:val="20"/>
          <w:szCs w:val="20"/>
          <w:lang w:eastAsia="sv-SE"/>
        </w:rPr>
        <w:t>-</w:t>
      </w:r>
      <w:r w:rsidR="00A85133" w:rsidRPr="008540C3">
        <w:rPr>
          <w:rFonts w:ascii="Times New Roman" w:hAnsi="Times New Roman" w:cs="Times New Roman"/>
          <w:color w:val="312E25"/>
          <w:sz w:val="20"/>
          <w:szCs w:val="20"/>
          <w:lang w:eastAsia="sv-SE"/>
        </w:rPr>
        <w:t>1706758</w:t>
      </w:r>
      <w:r w:rsidRPr="008540C3">
        <w:rPr>
          <w:rFonts w:ascii="Times New Roman" w:hAnsi="Times New Roman" w:cs="Times New Roman"/>
          <w:color w:val="312E25"/>
          <w:sz w:val="20"/>
          <w:szCs w:val="20"/>
          <w:lang w:eastAsia="sv-SE"/>
        </w:rPr>
        <w:t>, “</w:t>
      </w:r>
      <w:r w:rsidR="00A85133" w:rsidRPr="008540C3">
        <w:rPr>
          <w:rFonts w:ascii="Times New Roman" w:hAnsi="Times New Roman" w:cs="Times New Roman"/>
          <w:color w:val="312E25"/>
          <w:sz w:val="20"/>
          <w:szCs w:val="20"/>
          <w:lang w:eastAsia="sv-SE"/>
        </w:rPr>
        <w:t>WF on AGC impact for V2V sidelink short TTI evaluations</w:t>
      </w:r>
      <w:r w:rsidRPr="008540C3">
        <w:rPr>
          <w:rFonts w:ascii="Times New Roman" w:hAnsi="Times New Roman" w:cs="Times New Roman"/>
          <w:color w:val="312E25"/>
          <w:sz w:val="20"/>
          <w:szCs w:val="20"/>
          <w:lang w:eastAsia="sv-SE"/>
        </w:rPr>
        <w:t>”</w:t>
      </w:r>
      <w:bookmarkEnd w:id="11"/>
      <w:r w:rsidR="00A85133" w:rsidRPr="008540C3">
        <w:rPr>
          <w:rFonts w:ascii="Times New Roman" w:hAnsi="Times New Roman" w:cs="Times New Roman"/>
          <w:color w:val="312E25"/>
          <w:sz w:val="20"/>
          <w:szCs w:val="20"/>
          <w:lang w:eastAsia="sv-SE"/>
        </w:rPr>
        <w:t>, Intel, LGE</w:t>
      </w:r>
    </w:p>
    <w:bookmarkEnd w:id="6"/>
    <w:bookmarkEnd w:id="7"/>
    <w:p w14:paraId="7DD891CF" w14:textId="5F1BC1D4" w:rsidR="00B251FD" w:rsidRPr="00BA1426" w:rsidRDefault="00B251FD" w:rsidP="00EB01E4"/>
    <w:p w14:paraId="21A7151F" w14:textId="77777777" w:rsidR="00E92726" w:rsidRPr="00420D28" w:rsidRDefault="00E92726" w:rsidP="003810E1"/>
    <w:sectPr w:rsidR="00E92726" w:rsidRPr="00420D28"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7E9E" w14:textId="77777777" w:rsidR="00455361" w:rsidRDefault="00455361">
      <w:r>
        <w:separator/>
      </w:r>
    </w:p>
  </w:endnote>
  <w:endnote w:type="continuationSeparator" w:id="0">
    <w:p w14:paraId="4E8BB5B4" w14:textId="77777777" w:rsidR="00455361" w:rsidRDefault="0045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4ACEC" w14:textId="77777777" w:rsidR="00455361" w:rsidRDefault="00455361">
      <w:r>
        <w:separator/>
      </w:r>
    </w:p>
  </w:footnote>
  <w:footnote w:type="continuationSeparator" w:id="0">
    <w:p w14:paraId="21ED404B" w14:textId="77777777" w:rsidR="00455361" w:rsidRDefault="0045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B5FEE"/>
    <w:multiLevelType w:val="hybridMultilevel"/>
    <w:tmpl w:val="0AEC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297224"/>
    <w:multiLevelType w:val="hybridMultilevel"/>
    <w:tmpl w:val="6174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31B2E91"/>
    <w:multiLevelType w:val="hybridMultilevel"/>
    <w:tmpl w:val="5D88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1"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39"/>
  </w:num>
  <w:num w:numId="3">
    <w:abstractNumId w:val="35"/>
  </w:num>
  <w:num w:numId="4">
    <w:abstractNumId w:val="16"/>
  </w:num>
  <w:num w:numId="5">
    <w:abstractNumId w:val="21"/>
  </w:num>
  <w:num w:numId="6">
    <w:abstractNumId w:val="40"/>
  </w:num>
  <w:num w:numId="7">
    <w:abstractNumId w:val="2"/>
  </w:num>
  <w:num w:numId="8">
    <w:abstractNumId w:val="32"/>
  </w:num>
  <w:num w:numId="9">
    <w:abstractNumId w:val="15"/>
  </w:num>
  <w:num w:numId="10">
    <w:abstractNumId w:val="22"/>
  </w:num>
  <w:num w:numId="11">
    <w:abstractNumId w:val="4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4"/>
  </w:num>
  <w:num w:numId="17">
    <w:abstractNumId w:val="33"/>
  </w:num>
  <w:num w:numId="18">
    <w:abstractNumId w:val="5"/>
  </w:num>
  <w:num w:numId="19">
    <w:abstractNumId w:val="9"/>
  </w:num>
  <w:num w:numId="20">
    <w:abstractNumId w:val="37"/>
  </w:num>
  <w:num w:numId="21">
    <w:abstractNumId w:val="7"/>
  </w:num>
  <w:num w:numId="22">
    <w:abstractNumId w:val="11"/>
  </w:num>
  <w:num w:numId="23">
    <w:abstractNumId w:val="18"/>
  </w:num>
  <w:num w:numId="24">
    <w:abstractNumId w:val="3"/>
  </w:num>
  <w:num w:numId="25">
    <w:abstractNumId w:val="6"/>
  </w:num>
  <w:num w:numId="26">
    <w:abstractNumId w:val="12"/>
  </w:num>
  <w:num w:numId="27">
    <w:abstractNumId w:val="19"/>
  </w:num>
  <w:num w:numId="28">
    <w:abstractNumId w:val="1"/>
  </w:num>
  <w:num w:numId="29">
    <w:abstractNumId w:val="31"/>
  </w:num>
  <w:num w:numId="30">
    <w:abstractNumId w:val="29"/>
  </w:num>
  <w:num w:numId="31">
    <w:abstractNumId w:val="14"/>
  </w:num>
  <w:num w:numId="32">
    <w:abstractNumId w:val="24"/>
  </w:num>
  <w:num w:numId="33">
    <w:abstractNumId w:val="13"/>
  </w:num>
  <w:num w:numId="34">
    <w:abstractNumId w:val="10"/>
  </w:num>
  <w:num w:numId="35">
    <w:abstractNumId w:val="23"/>
  </w:num>
  <w:num w:numId="36">
    <w:abstractNumId w:val="4"/>
  </w:num>
  <w:num w:numId="37">
    <w:abstractNumId w:val="26"/>
  </w:num>
  <w:num w:numId="38">
    <w:abstractNumId w:val="27"/>
  </w:num>
  <w:num w:numId="39">
    <w:abstractNumId w:val="17"/>
  </w:num>
  <w:num w:numId="40">
    <w:abstractNumId w:val="30"/>
  </w:num>
  <w:num w:numId="41">
    <w:abstractNumId w:val="8"/>
  </w:num>
  <w:num w:numId="42">
    <w:abstractNumId w:val="20"/>
  </w:num>
  <w:num w:numId="43">
    <w:abstractNumId w:val="36"/>
  </w:num>
  <w:num w:numId="4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6A"/>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7F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51A"/>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4C2"/>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29"/>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57F"/>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324"/>
    <w:rsid w:val="002627B5"/>
    <w:rsid w:val="002627FF"/>
    <w:rsid w:val="00262D2C"/>
    <w:rsid w:val="00262E4F"/>
    <w:rsid w:val="00262FC5"/>
    <w:rsid w:val="002630D7"/>
    <w:rsid w:val="00263194"/>
    <w:rsid w:val="002631BD"/>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49B"/>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B8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61"/>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714"/>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3D18"/>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597"/>
    <w:rsid w:val="005446D8"/>
    <w:rsid w:val="00544A53"/>
    <w:rsid w:val="00544B04"/>
    <w:rsid w:val="005450BF"/>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3C8D"/>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EA0"/>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6C48"/>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2CC"/>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1F4D"/>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7FF"/>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E25"/>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1E30"/>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0C3"/>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6E7"/>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F15"/>
    <w:rsid w:val="00950F7B"/>
    <w:rsid w:val="009529F5"/>
    <w:rsid w:val="00952A95"/>
    <w:rsid w:val="00952D43"/>
    <w:rsid w:val="009532D9"/>
    <w:rsid w:val="009533FE"/>
    <w:rsid w:val="00953457"/>
    <w:rsid w:val="009535FD"/>
    <w:rsid w:val="00953777"/>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33E"/>
    <w:rsid w:val="0096245D"/>
    <w:rsid w:val="00962639"/>
    <w:rsid w:val="0096305F"/>
    <w:rsid w:val="0096314E"/>
    <w:rsid w:val="009637F0"/>
    <w:rsid w:val="00963FE5"/>
    <w:rsid w:val="0096419A"/>
    <w:rsid w:val="009641A9"/>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08D"/>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67A73"/>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133"/>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9FF"/>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2D1A"/>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28E"/>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5D"/>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17D"/>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8DA"/>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3EFD"/>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C13"/>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0E8A"/>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0E"/>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4E4"/>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2FC5"/>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2017-05-05T13:42:00Z</dcterms:created>
  <dcterms:modified xsi:type="dcterms:W3CDTF">2017-05-06T13:58:00Z</dcterms:modified>
</cp:coreProperties>
</file>